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08" w:rsidRPr="002F1B08" w:rsidRDefault="002F1B08" w:rsidP="002F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B08">
        <w:rPr>
          <w:rFonts w:ascii="Arial" w:eastAsia="Times New Roman" w:hAnsi="Arial" w:cs="Arial"/>
          <w:b/>
          <w:bCs/>
          <w:color w:val="152F6A"/>
          <w:sz w:val="20"/>
          <w:lang w:eastAsia="pt-BR"/>
        </w:rPr>
        <w:t>Seguro Escolar Centauro</w:t>
      </w:r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• Seguro de Acidentes Pessoais Coletivo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Processo SUSEP nº. 15414.004350/2009-05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• Objetivo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Seguro que cobre de forma ampla acidentes ocorridos com alunos dentro da escola e trajeto ou opcionalmente 24 horas, com diferenciais exclusivos.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• Público-alvo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Alunos de instituições de ensino como colégios, faculdades, universidades, escolas técnicas e cursos de línguas, podendo abranger professores, diretores e demais funcionários.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• Coberturas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Morte Acidental (MAC)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Invalidez Permanente Total ou Parcial por Acidente (IPA) –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opcional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Despesas Médico-Hospitalares e Odontológicas por Acidente (DMHO)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Serviço de Assistência Escolar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• Âmbito Geográfico das coberturas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Morte Acidental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cobertura 24 horas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Invalidez Permanente Total ou Parcial por Acidente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cobertura 24 horas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Despesas Médico-Hospitalares e Odontológicas por Acidente: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dentro da instituição de ensino, trajeto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residência -escola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-residência e eventos promovidos pela escola sob </w:t>
      </w:r>
      <w:proofErr w:type="spell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cordenação</w:t>
      </w:r>
      <w:proofErr w:type="spell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desta ou 24 horas.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*A opção do âmbito geográfico da cobertura de DMHO é feita quando da contratação do Seguro.*</w:t>
      </w:r>
    </w:p>
    <w:p w:rsidR="002F1B08" w:rsidRPr="002F1B08" w:rsidRDefault="002F1B08" w:rsidP="002F1B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F1B08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•Serviço de Assistência Escolar</w:t>
      </w:r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 xml:space="preserve">O Serviço de Assistência Escolar garante aos Alunos, Professores e Funcionários uma Assistência Personalizada, em caso de acidente coberto, ocorrido no âmbito geográfico contratado para cobertura de Despesas Médico </w:t>
      </w:r>
      <w:proofErr w:type="gramStart"/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Hospitalares</w:t>
      </w:r>
      <w:proofErr w:type="gramEnd"/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e Odontológicas, dando assistência necessária, sempre que houver um acidente, proporcionando maior segurança e </w:t>
      </w:r>
      <w:proofErr w:type="spellStart"/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tranqüilidade</w:t>
      </w:r>
      <w:proofErr w:type="spellEnd"/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  <w:r w:rsidRPr="002F1B08">
        <w:rPr>
          <w:rFonts w:ascii="Arial" w:eastAsia="Times New Roman" w:hAnsi="Arial" w:cs="Arial"/>
          <w:color w:val="000000"/>
          <w:sz w:val="17"/>
          <w:lang w:eastAsia="pt-BR"/>
        </w:rPr>
        <w:t> </w:t>
      </w:r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>Abaixo segue tabela com resumo dos serviços:</w:t>
      </w:r>
    </w:p>
    <w:p w:rsidR="002F1B08" w:rsidRPr="002F1B08" w:rsidRDefault="002F1B08" w:rsidP="002F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2912"/>
      </w:tblGrid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/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  <w:t>SERVIÇOS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/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pt-BR"/>
              </w:rPr>
              <w:t>LIMITES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Remoção inter-hospitalar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R$ 3.000,00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Monitoração 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Sem limite monetário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Indicação Médica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Sem limite monetário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Transporte para </w:t>
            </w:r>
            <w:proofErr w:type="spell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frequencia</w:t>
            </w:r>
            <w:proofErr w:type="spellEnd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às aulas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R$33,00 por dia, máximo de 30 </w:t>
            </w:r>
            <w:proofErr w:type="gram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dias</w:t>
            </w:r>
            <w:proofErr w:type="gramEnd"/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Transporte para tratamento fisioterápico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R$33,00 por dia, máximo de 30 </w:t>
            </w:r>
            <w:proofErr w:type="gram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dias</w:t>
            </w:r>
            <w:proofErr w:type="gramEnd"/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Aulas domiciliares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R$18/hora, </w:t>
            </w:r>
            <w:proofErr w:type="spell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máx</w:t>
            </w:r>
            <w:proofErr w:type="spellEnd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de 2hs aula/dia.</w:t>
            </w: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  <w:t xml:space="preserve">Limitado a R$ 1.500,00 por </w:t>
            </w:r>
            <w:proofErr w:type="gram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evento</w:t>
            </w:r>
            <w:proofErr w:type="gramEnd"/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Transmissão de mensagens urgentes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Sem limite monetário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 xml:space="preserve">COM FRANQUIA </w:t>
            </w:r>
            <w:proofErr w:type="gramStart"/>
            <w:r w:rsidRPr="002F1B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100 KM</w:t>
            </w:r>
            <w:proofErr w:type="gramEnd"/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Transporte e envio de familiar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R$ 1.200,00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Hospedagem para familiar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R$200,00/dia, até </w:t>
            </w:r>
            <w:proofErr w:type="gram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5</w:t>
            </w:r>
            <w:proofErr w:type="gramEnd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dias, no Exterior</w:t>
            </w: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  <w:t>R$150,00/dia, até 5 dias, no Brasil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Prolongamento da Estadia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R$ 200,00/dia, até </w:t>
            </w:r>
            <w:proofErr w:type="gram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5</w:t>
            </w:r>
            <w:proofErr w:type="gramEnd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dias, no Exterior</w:t>
            </w: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  <w:t>R$150,00/dia, até 5 dias no Brasil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Retorno do paciente após alta hospitalar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R$ 2.000,00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Retorno dos pais ou responsáveis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R$ 2.000,00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spellStart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Translados</w:t>
            </w:r>
            <w:proofErr w:type="spellEnd"/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de corpos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R$ 3.000,00</w:t>
            </w:r>
          </w:p>
        </w:tc>
      </w:tr>
      <w:tr w:rsidR="002F1B08" w:rsidRPr="002F1B08" w:rsidTr="002F1B08">
        <w:trPr>
          <w:tblCellSpacing w:w="15" w:type="dxa"/>
          <w:jc w:val="center"/>
        </w:trPr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lastRenderedPageBreak/>
              <w:t>Regresso antecipado em caso de falecimento de parentes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8" w:rsidRPr="002F1B08" w:rsidRDefault="002F1B08" w:rsidP="002F1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2F1B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R$ 2.000,00</w:t>
            </w:r>
          </w:p>
        </w:tc>
      </w:tr>
    </w:tbl>
    <w:p w:rsidR="002F1B08" w:rsidRPr="002F1B08" w:rsidRDefault="002F1B08" w:rsidP="002F1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B08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</w:r>
    </w:p>
    <w:p w:rsidR="002F1B08" w:rsidRPr="002F1B08" w:rsidRDefault="002F1B08" w:rsidP="002F1B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F1B08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*</w:t>
      </w:r>
      <w:proofErr w:type="gramStart"/>
      <w:r w:rsidRPr="002F1B08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O detalhamento destes serviços, bem como os respectivos limites estão</w:t>
      </w:r>
      <w:proofErr w:type="gramEnd"/>
      <w:r w:rsidRPr="002F1B08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descritos no Contrato do Seguro.</w:t>
      </w:r>
    </w:p>
    <w:p w:rsidR="002F1B08" w:rsidRPr="002F1B08" w:rsidRDefault="002F1B08" w:rsidP="002F1B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F1B08">
        <w:rPr>
          <w:rFonts w:ascii="Arial" w:eastAsia="Times New Roman" w:hAnsi="Arial" w:cs="Arial"/>
          <w:b/>
          <w:bCs/>
          <w:color w:val="000080"/>
          <w:sz w:val="18"/>
          <w:szCs w:val="18"/>
          <w:lang w:eastAsia="pt-BR"/>
        </w:rPr>
        <w:t>Central de Serviço Assistência Escolar:</w:t>
      </w:r>
    </w:p>
    <w:p w:rsidR="002F1B08" w:rsidRPr="002F1B08" w:rsidRDefault="002F1B08" w:rsidP="002F1B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F1B08">
        <w:rPr>
          <w:rFonts w:ascii="Arial" w:eastAsia="Times New Roman" w:hAnsi="Arial" w:cs="Arial"/>
          <w:b/>
          <w:bCs/>
          <w:color w:val="000080"/>
          <w:sz w:val="18"/>
          <w:szCs w:val="18"/>
          <w:lang w:eastAsia="pt-BR"/>
        </w:rPr>
        <w:t>0800 770 08 36 para ligações nacionais</w:t>
      </w:r>
    </w:p>
    <w:p w:rsidR="002F1B08" w:rsidRPr="002F1B08" w:rsidRDefault="002F1B08" w:rsidP="002F1B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2F1B08">
        <w:rPr>
          <w:rFonts w:ascii="Arial" w:eastAsia="Times New Roman" w:hAnsi="Arial" w:cs="Arial"/>
          <w:b/>
          <w:bCs/>
          <w:color w:val="000080"/>
          <w:sz w:val="15"/>
          <w:lang w:eastAsia="pt-BR"/>
        </w:rPr>
        <w:t>55 11 4126 7427  para ligações internacionais (a cobrar)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 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● Atendimento e Reembolso:</w:t>
      </w:r>
      <w:r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 xml:space="preserve"> 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a) Atendimentos emergenciais graves: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 xml:space="preserve">Para atendimentos emergenciais graves, exclusivamente em </w:t>
      </w:r>
      <w:proofErr w:type="spell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conseqüência</w:t>
      </w:r>
      <w:proofErr w:type="spell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de acidentes com alunos segurados, onde seja indispensável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a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utilização de UTI MÓVEL ou AMBULÂNCIA, serão utilizados os serviços do atendimento emergencial conveniado na região quando disponível. A solicitação deste serviço ficará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sob responsabilidade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de dois funcionários da Escola a serem cadastrados na Seguradora.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EXEMPLOS DE ATENDIMENTOS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EMERGENCIAIS: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Perda da consciência, alteração súbita do nível de consciência, dificuldade de movimentar membros e de falar, fraturas com hemorragia ou perda da consciência, afogamentos, choques elétricos, aspiração de corpos estranhos. A remoção para atendimento em hospital ou pronto socorro, em caso de acidentes de pequeno efeito onde a locomoção do segurado não demande veículo especial, poderá ser feita através de táxi, dentro do perímetro urbano, com despesa reembolsável mediante recibo do prestador. Tal solução muitas vezes abrevia o tempo entre o acidente e o início do atendimento, evitando-se a espera do deslocamento da ambulância até o local.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b) Utilização da Rede Credenciada: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 xml:space="preserve">Na ocorrência de acidente coberto pelo seguro, o aluno deverá identificar-se à clínica / hospital credenciado para o pronto atendimento. Neste caso, a frente do FORMULÁRIO DE ACIDENTES PESSOAIS deverá ser entregue preenchida ao médico que complementará com as informações no verso. O formulário e demais documentos serão posteriormente encaminhados à seguradora pela própria entidade credenciada. A Rede Credenciada visa facilitar a utilização dos serviços uma vez que não há necessidade do desembolso das despesas, porém é livre a escolha dos prestadores de serviços pelo segurado, mediante pagamento das despesas e posterior reembolso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pela Centauro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hyperlink r:id="rId4" w:history="1">
        <w:r w:rsidRPr="002F1B08">
          <w:rPr>
            <w:rFonts w:ascii="Verdana" w:eastAsia="Times New Roman" w:hAnsi="Verdana" w:cs="Times New Roman"/>
            <w:color w:val="0000FF"/>
            <w:sz w:val="14"/>
            <w:u w:val="single"/>
            <w:lang w:eastAsia="pt-BR"/>
          </w:rPr>
          <w:t xml:space="preserve">Clique aqui e conheça a rede credenciada de atendimento </w:t>
        </w:r>
        <w:proofErr w:type="gramStart"/>
        <w:r w:rsidRPr="002F1B08">
          <w:rPr>
            <w:rFonts w:ascii="Verdana" w:eastAsia="Times New Roman" w:hAnsi="Verdana" w:cs="Times New Roman"/>
            <w:color w:val="0000FF"/>
            <w:sz w:val="14"/>
            <w:u w:val="single"/>
            <w:lang w:eastAsia="pt-BR"/>
          </w:rPr>
          <w:t>Escolar.</w:t>
        </w:r>
        <w:proofErr w:type="gramEnd"/>
      </w:hyperlink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c) Utilização através de Reembolso: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Na ocorrência de acidente coberto pelo seguro, a pessoa que sofreu o acidente ou o responsável (professor, coordenador, etc.) que tiver presenciado o acidente, deverá preencher de próprio punho, a parte da frente do FORMULÁRIO DE ACIDENTES PESSOAIS; o verso deverá ser preenchido integralmente pelo médico assistente, que deverá assinar e se identificar com carimbo no qual conste o número de seu registro no CRM. No caso de atendimento odontológico decorrente de acidente coberto, o preenchimento e identificação serão do dentista, com carimbo onde conste o número do CRO. Informações importantes: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Se a cobrança das despesas for feita por pessoa física (ex: médicos, dentistas, etc.) o recibo dos honorários deve ser datado, conter carimbo com número de registro profissional e código pela tabela da AMB ou VRPO dos procedimentos executados com seus valores individuais.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 xml:space="preserve">- Se a cobrança das despesas for feita por pessoa jurídica (hospitais, laboratórios, clínicas, etc.) é necessária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a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nota fiscal acompanhada de um relatório detalhado da cobrança (profissionais e respectivos honorários, materiais, taxas de sala, etc.).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Todos os exames realizados deverão ter sido solicitados por escrito pelo médico assistente bem como os medicamentos prescritos em receituário padrão.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Casos de utilização de exames radiológicos deverão vir acompanhados de laudo do exame ou do próprio raio-X, sendo o raio-X obrigatório no caso de atendimento odontológico.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Para reembolso do táxi a nota fiscal ou recibo, deverão conter o nome do segurado, a data e o trajeto envolvido.</w:t>
      </w:r>
    </w:p>
    <w:p w:rsidR="002F1B08" w:rsidRPr="002F1B08" w:rsidRDefault="002F1B08" w:rsidP="002F1B08">
      <w:pPr>
        <w:spacing w:before="100" w:beforeAutospacing="1" w:after="240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lastRenderedPageBreak/>
        <w:t>- Indispensável o envio da cópia do RG, CPF e comprovante de residência do beneficiário do reembolso.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● Informações Adicionais: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 xml:space="preserve">- Quando o âmbito geográfico da cobertura de DMHO for dentro da escola e trajeto </w:t>
      </w:r>
      <w:proofErr w:type="spell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residência-escola-residência</w:t>
      </w:r>
      <w:proofErr w:type="spell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, entende-se por trajeto o período dentro dos 30 minutos anteriores e posteriores ao horário de início e final do período escolar diário. A cobertura do seguro também é estendida para atividades promovidas pela escola, desde que previstas em sua grade curricular e </w:t>
      </w:r>
      <w:proofErr w:type="gram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sob monitoração</w:t>
      </w:r>
      <w:proofErr w:type="gram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desta.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 xml:space="preserve">- Opcionalmente a escola poderá realizar as movimentações </w:t>
      </w:r>
      <w:proofErr w:type="spell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on</w:t>
      </w:r>
      <w:proofErr w:type="spell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</w:t>
      </w:r>
      <w:proofErr w:type="spellStart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line</w:t>
      </w:r>
      <w:proofErr w:type="spellEnd"/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 xml:space="preserve"> de inclusão e exclusão de alunos, através de senha exclusiva disponibilizada pela seguradora.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- Haverá fatura mínima mensal de R$ 50,00 (Cinquenta Reais).</w:t>
      </w:r>
    </w:p>
    <w:p w:rsidR="002F1B08" w:rsidRPr="002F1B08" w:rsidRDefault="002F1B08" w:rsidP="002F1B08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 w:rsidRPr="002F1B08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pt-BR"/>
        </w:rPr>
        <w:t>● Riscos Excluídos:</w:t>
      </w:r>
      <w:r w:rsidRPr="002F1B08">
        <w:rPr>
          <w:rFonts w:ascii="Verdana" w:eastAsia="Times New Roman" w:hAnsi="Verdana" w:cs="Times New Roman"/>
          <w:color w:val="000000"/>
          <w:sz w:val="14"/>
          <w:lang w:eastAsia="pt-BR"/>
        </w:rPr>
        <w:t> </w:t>
      </w:r>
      <w:r w:rsidRPr="002F1B08"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br/>
        <w:t>Não poderão contratar o seguro escolas que não possuem ensino acadêmico. Exemplos: escolas de artes marciais, ginástica, mergulho, dança etc. A escola de ensino acadêmico poderá contratar o seguro, caso tenha algumas dessas atividades físicas somente como atividade complementar.</w:t>
      </w:r>
    </w:p>
    <w:p w:rsidR="00731715" w:rsidRDefault="00731715"/>
    <w:sectPr w:rsidR="00731715" w:rsidSect="00731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B08"/>
    <w:rsid w:val="002F1B08"/>
    <w:rsid w:val="0073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">
    <w:name w:val="titulo"/>
    <w:basedOn w:val="Fontepargpadro"/>
    <w:rsid w:val="002F1B08"/>
  </w:style>
  <w:style w:type="paragraph" w:customStyle="1" w:styleId="txt">
    <w:name w:val="txt"/>
    <w:basedOn w:val="Normal"/>
    <w:rsid w:val="002F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F1B08"/>
  </w:style>
  <w:style w:type="paragraph" w:styleId="NormalWeb">
    <w:name w:val="Normal (Web)"/>
    <w:basedOn w:val="Normal"/>
    <w:uiPriority w:val="99"/>
    <w:semiHidden/>
    <w:unhideWhenUsed/>
    <w:rsid w:val="002F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F1B08"/>
  </w:style>
  <w:style w:type="character" w:styleId="Hyperlink">
    <w:name w:val="Hyperlink"/>
    <w:basedOn w:val="Fontepargpadro"/>
    <w:uiPriority w:val="99"/>
    <w:semiHidden/>
    <w:unhideWhenUsed/>
    <w:rsid w:val="002F1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centauroseg.com.br/EgeonOnLine/Seguros/RedeCredenciada/Default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2015-07-29T20:22:00Z</dcterms:created>
  <dcterms:modified xsi:type="dcterms:W3CDTF">2015-07-29T20:25:00Z</dcterms:modified>
</cp:coreProperties>
</file>